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bookmarkStart w:colFirst="0" w:colLast="0" w:name="_heading=h.gjdgxs" w:id="0"/>
      <w:bookmarkEnd w:id="0"/>
      <w:r w:rsidDel="00000000" w:rsidR="00000000" w:rsidRPr="00000000">
        <w:rPr>
          <w:b w:val="1"/>
          <w:i w:val="1"/>
          <w:rtl w:val="0"/>
        </w:rPr>
        <w:t xml:space="preserve">TEEM </w:t>
      </w:r>
      <w:r w:rsidDel="00000000" w:rsidR="00000000" w:rsidRPr="00000000">
        <w:rPr>
          <w:b w:val="1"/>
          <w:rtl w:val="0"/>
        </w:rPr>
        <w:t xml:space="preserve">Special Themed Issue</w:t>
      </w:r>
    </w:p>
    <w:p w:rsidR="00000000" w:rsidDel="00000000" w:rsidP="00000000" w:rsidRDefault="00000000" w:rsidRPr="00000000" w14:paraId="00000002">
      <w:pPr>
        <w:pageBreakBefore w:val="0"/>
        <w:jc w:val="center"/>
        <w:rPr>
          <w:b w:val="1"/>
          <w:sz w:val="26"/>
          <w:szCs w:val="26"/>
        </w:rPr>
      </w:pPr>
      <w:r w:rsidDel="00000000" w:rsidR="00000000" w:rsidRPr="00000000">
        <w:rPr>
          <w:b w:val="1"/>
          <w:sz w:val="32"/>
          <w:szCs w:val="32"/>
          <w:rtl w:val="0"/>
        </w:rPr>
        <w:t xml:space="preserve">Antiracism in Mathematics Education </w:t>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Call for Submissions</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sz w:val="20"/>
          <w:szCs w:val="20"/>
        </w:rPr>
      </w:pPr>
      <w:r w:rsidDel="00000000" w:rsidR="00000000" w:rsidRPr="00000000">
        <w:rPr>
          <w:b w:val="1"/>
          <w:sz w:val="20"/>
          <w:szCs w:val="20"/>
          <w:rtl w:val="0"/>
        </w:rPr>
        <w:t xml:space="preserve">Submission Deadline: October 5, 2021</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momentum around defining and enacting antiracism in the mathematics classroom is growing. We have resources now that help us conceptualize and move forward in our commitments to making classrooms spaces that are truly welcoming to all students and their families, in ways that honor the humanity of all people, and recognize the power and potential in students to know, learn and critically engage with mathematics. We will not debate the need for antiracist mathematics education - we are moving forward with examples, ideas, and case studies. For this special issue, we grapple with,  “What does antiracist mathematics education look, sound, and feel like across PreK-12 and teacher education?” In particular, for this special issue, we are interested in the following:</w:t>
      </w:r>
    </w:p>
    <w:p w:rsidR="00000000" w:rsidDel="00000000" w:rsidP="00000000" w:rsidRDefault="00000000" w:rsidRPr="00000000" w14:paraId="00000008">
      <w:pPr>
        <w:pageBreakBefore w:val="0"/>
        <w:numPr>
          <w:ilvl w:val="0"/>
          <w:numId w:val="1"/>
        </w:numPr>
        <w:ind w:left="720" w:hanging="360"/>
        <w:rPr>
          <w:sz w:val="20"/>
          <w:szCs w:val="20"/>
        </w:rPr>
      </w:pPr>
      <w:r w:rsidDel="00000000" w:rsidR="00000000" w:rsidRPr="00000000">
        <w:rPr>
          <w:sz w:val="20"/>
          <w:szCs w:val="20"/>
          <w:rtl w:val="0"/>
        </w:rPr>
        <w:t xml:space="preserve">What are the stories from the classrooms, districts, and other spaces where antiracism in mathematics work is being done? </w:t>
      </w:r>
    </w:p>
    <w:p w:rsidR="00000000" w:rsidDel="00000000" w:rsidP="00000000" w:rsidRDefault="00000000" w:rsidRPr="00000000" w14:paraId="00000009">
      <w:pPr>
        <w:pageBreakBefore w:val="0"/>
        <w:numPr>
          <w:ilvl w:val="0"/>
          <w:numId w:val="1"/>
        </w:numPr>
        <w:ind w:left="720" w:hanging="360"/>
        <w:rPr>
          <w:sz w:val="20"/>
          <w:szCs w:val="20"/>
        </w:rPr>
      </w:pPr>
      <w:r w:rsidDel="00000000" w:rsidR="00000000" w:rsidRPr="00000000">
        <w:rPr>
          <w:sz w:val="20"/>
          <w:szCs w:val="20"/>
          <w:rtl w:val="0"/>
        </w:rPr>
        <w:t xml:space="preserve">What are the tensions and resolutions arising from engaging in antiracism work? </w:t>
      </w:r>
    </w:p>
    <w:p w:rsidR="00000000" w:rsidDel="00000000" w:rsidP="00000000" w:rsidRDefault="00000000" w:rsidRPr="00000000" w14:paraId="0000000A">
      <w:pPr>
        <w:pageBreakBefore w:val="0"/>
        <w:numPr>
          <w:ilvl w:val="0"/>
          <w:numId w:val="1"/>
        </w:numPr>
        <w:ind w:left="720" w:hanging="360"/>
        <w:rPr>
          <w:sz w:val="20"/>
          <w:szCs w:val="20"/>
        </w:rPr>
      </w:pPr>
      <w:r w:rsidDel="00000000" w:rsidR="00000000" w:rsidRPr="00000000">
        <w:rPr>
          <w:sz w:val="20"/>
          <w:szCs w:val="20"/>
          <w:rtl w:val="0"/>
        </w:rPr>
        <w:t xml:space="preserve">What are productive points of inflection or change, in terms of institutional policy, teacher practice, personal disposition, etc.? </w:t>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The TEEM Guest Editors for this special issue are Ksenija Simic-Muller (Pacific Lutheran University) and Maria del Rosario Zavala (San Francisco State University). </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spacing w:after="220" w:lineRule="auto"/>
        <w:rPr>
          <w:sz w:val="20"/>
          <w:szCs w:val="20"/>
        </w:rPr>
      </w:pPr>
      <w:r w:rsidDel="00000000" w:rsidR="00000000" w:rsidRPr="00000000">
        <w:rPr>
          <w:sz w:val="20"/>
          <w:szCs w:val="20"/>
          <w:rtl w:val="0"/>
        </w:rPr>
        <w:t xml:space="preserve">We understand pandemic times have made it hard to find time to write, especially for potential authors who are parents/caregivers. Additionally, we hope to make our journal a space to encourage creative and boundary-pushing forms of scholarship. For these reasons, we encourage formats such as shorter, narrative descriptions of first-person experiences, video testimonies, and other creative works as alternatives to manuscripts conforming to all </w:t>
      </w:r>
      <w:hyperlink r:id="rId7">
        <w:r w:rsidDel="00000000" w:rsidR="00000000" w:rsidRPr="00000000">
          <w:rPr>
            <w:i w:val="1"/>
            <w:color w:val="1155cc"/>
            <w:sz w:val="20"/>
            <w:szCs w:val="20"/>
            <w:u w:val="single"/>
            <w:rtl w:val="0"/>
          </w:rPr>
          <w:t xml:space="preserve">TEEM</w:t>
        </w:r>
      </w:hyperlink>
      <w:hyperlink r:id="rId8">
        <w:r w:rsidDel="00000000" w:rsidR="00000000" w:rsidRPr="00000000">
          <w:rPr>
            <w:color w:val="1155cc"/>
            <w:sz w:val="20"/>
            <w:szCs w:val="20"/>
            <w:u w:val="single"/>
            <w:rtl w:val="0"/>
          </w:rPr>
          <w:t xml:space="preserve"> guidelines</w:t>
        </w:r>
      </w:hyperlink>
      <w:r w:rsidDel="00000000" w:rsidR="00000000" w:rsidRPr="00000000">
        <w:rPr>
          <w:sz w:val="20"/>
          <w:szCs w:val="20"/>
          <w:rtl w:val="0"/>
        </w:rPr>
        <w:t xml:space="preserve">. We strongly encourage both newer and experienced PreK-12 classroom teachers, possibly in collaboration with researchers, to share your experiences and observations, informed by the </w:t>
      </w:r>
      <w:hyperlink r:id="rId9">
        <w:r w:rsidDel="00000000" w:rsidR="00000000" w:rsidRPr="00000000">
          <w:rPr>
            <w:color w:val="1155cc"/>
            <w:sz w:val="20"/>
            <w:szCs w:val="20"/>
            <w:u w:val="single"/>
            <w:rtl w:val="0"/>
          </w:rPr>
          <w:t xml:space="preserve">TODOS statement on antiracism</w:t>
        </w:r>
      </w:hyperlink>
      <w:r w:rsidDel="00000000" w:rsidR="00000000" w:rsidRPr="00000000">
        <w:rPr>
          <w:sz w:val="20"/>
          <w:szCs w:val="20"/>
          <w:rtl w:val="0"/>
        </w:rPr>
        <w:t xml:space="preserve">. We envision this issue as a snapshot of successes, struggles, questions, and myriads of ways we are finding our footing as we do complex work of antiracist mathematics teaching. Therefore, pieces need not be fully polished, as they reflect how authors themselves are in-process.  Email </w:t>
      </w:r>
      <w:hyperlink r:id="rId10">
        <w:r w:rsidDel="00000000" w:rsidR="00000000" w:rsidRPr="00000000">
          <w:rPr>
            <w:b w:val="1"/>
            <w:color w:val="1155cc"/>
            <w:sz w:val="20"/>
            <w:szCs w:val="20"/>
            <w:u w:val="single"/>
            <w:rtl w:val="0"/>
          </w:rPr>
          <w:t xml:space="preserve">teem@todos-math.org</w:t>
        </w:r>
      </w:hyperlink>
      <w:r w:rsidDel="00000000" w:rsidR="00000000" w:rsidRPr="00000000">
        <w:rPr>
          <w:b w:val="1"/>
          <w:sz w:val="20"/>
          <w:szCs w:val="20"/>
          <w:rtl w:val="0"/>
        </w:rPr>
        <w:t xml:space="preserve"> </w:t>
      </w:r>
      <w:r w:rsidDel="00000000" w:rsidR="00000000" w:rsidRPr="00000000">
        <w:rPr>
          <w:sz w:val="20"/>
          <w:szCs w:val="20"/>
          <w:rtl w:val="0"/>
        </w:rPr>
        <w:t xml:space="preserve">(subject line TEEM antiracist special issue) with your submissions or with any questions about the suitability of your possible topic/format.</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Guidelines:</w:t>
      </w:r>
    </w:p>
    <w:p w:rsidR="00000000" w:rsidDel="00000000" w:rsidP="00000000" w:rsidRDefault="00000000" w:rsidRPr="00000000" w14:paraId="0000000F">
      <w:pPr>
        <w:pageBreakBefore w:val="0"/>
        <w:numPr>
          <w:ilvl w:val="0"/>
          <w:numId w:val="2"/>
        </w:numPr>
        <w:ind w:left="720" w:hanging="360"/>
        <w:rPr>
          <w:sz w:val="20"/>
          <w:szCs w:val="20"/>
        </w:rPr>
      </w:pPr>
      <w:r w:rsidDel="00000000" w:rsidR="00000000" w:rsidRPr="00000000">
        <w:rPr>
          <w:sz w:val="20"/>
          <w:szCs w:val="20"/>
          <w:rtl w:val="0"/>
        </w:rPr>
        <w:t xml:space="preserve">Manuscripts should make explicit connections to the conceptualization of antiracism in the </w:t>
      </w:r>
      <w:hyperlink r:id="rId11">
        <w:r w:rsidDel="00000000" w:rsidR="00000000" w:rsidRPr="00000000">
          <w:rPr>
            <w:color w:val="1155cc"/>
            <w:sz w:val="20"/>
            <w:szCs w:val="20"/>
            <w:u w:val="single"/>
            <w:rtl w:val="0"/>
          </w:rPr>
          <w:t xml:space="preserve">TODOS Position statement from 2020</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https://www.todos-math.org/statements</w:t>
        </w:r>
      </w:hyperlink>
      <w:r w:rsidDel="00000000" w:rsidR="00000000" w:rsidRPr="00000000">
        <w:rPr>
          <w:sz w:val="20"/>
          <w:szCs w:val="20"/>
          <w:rtl w:val="0"/>
        </w:rPr>
        <w:t xml:space="preserve">) </w:t>
      </w:r>
    </w:p>
    <w:p w:rsidR="00000000" w:rsidDel="00000000" w:rsidP="00000000" w:rsidRDefault="00000000" w:rsidRPr="00000000" w14:paraId="00000010">
      <w:pPr>
        <w:pageBreakBefore w:val="0"/>
        <w:numPr>
          <w:ilvl w:val="0"/>
          <w:numId w:val="2"/>
        </w:numPr>
        <w:ind w:left="720" w:hanging="360"/>
        <w:rPr>
          <w:sz w:val="20"/>
          <w:szCs w:val="20"/>
        </w:rPr>
      </w:pPr>
      <w:r w:rsidDel="00000000" w:rsidR="00000000" w:rsidRPr="00000000">
        <w:rPr>
          <w:rtl w:val="0"/>
        </w:rPr>
        <w:t xml:space="preserve">Authors should send their submissions via email to the </w:t>
      </w:r>
      <w:r w:rsidDel="00000000" w:rsidR="00000000" w:rsidRPr="00000000">
        <w:rPr>
          <w:i w:val="1"/>
          <w:rtl w:val="0"/>
        </w:rPr>
        <w:t xml:space="preserve">TEEM</w:t>
      </w:r>
      <w:r w:rsidDel="00000000" w:rsidR="00000000" w:rsidRPr="00000000">
        <w:rPr>
          <w:rtl w:val="0"/>
        </w:rPr>
        <w:t xml:space="preserve"> special issue editors at </w:t>
      </w:r>
      <w:hyperlink r:id="rId13">
        <w:r w:rsidDel="00000000" w:rsidR="00000000" w:rsidRPr="00000000">
          <w:rPr>
            <w:color w:val="1155cc"/>
            <w:sz w:val="20"/>
            <w:szCs w:val="20"/>
            <w:u w:val="single"/>
            <w:rtl w:val="0"/>
          </w:rPr>
          <w:t xml:space="preserve">TEEMAntiracismIssue@gmail.com.</w:t>
        </w:r>
      </w:hyperlink>
      <w:hyperlink r:id="rId14">
        <w:r w:rsidDel="00000000" w:rsidR="00000000" w:rsidRPr="00000000">
          <w:rPr>
            <w:color w:val="1155cc"/>
            <w:sz w:val="20"/>
            <w:szCs w:val="20"/>
            <w:rtl w:val="0"/>
          </w:rPr>
          <w:t xml:space="preserve"> </w:t>
        </w:r>
      </w:hyperlink>
      <w:hyperlink r:id="rId15">
        <w:r w:rsidDel="00000000" w:rsidR="00000000" w:rsidRPr="00000000">
          <w:rPr>
            <w:sz w:val="20"/>
            <w:szCs w:val="20"/>
            <w:rtl w:val="0"/>
          </w:rPr>
          <w:t xml:space="preserve">The subject line  for submissions should read “Antiracism Special Issue”.</w:t>
        </w:r>
      </w:hyperlink>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sz w:val="20"/>
          <w:szCs w:val="20"/>
        </w:rPr>
      </w:pPr>
      <w:r w:rsidDel="00000000" w:rsidR="00000000" w:rsidRPr="00000000">
        <w:rPr>
          <w:sz w:val="20"/>
          <w:szCs w:val="20"/>
          <w:rtl w:val="0"/>
        </w:rPr>
        <w:t xml:space="preserve">Additional Guidelines can be found at </w:t>
      </w:r>
      <w:hyperlink r:id="rId16">
        <w:r w:rsidDel="00000000" w:rsidR="00000000" w:rsidRPr="00000000">
          <w:rPr>
            <w:color w:val="1155cc"/>
            <w:sz w:val="20"/>
            <w:szCs w:val="20"/>
            <w:u w:val="single"/>
            <w:rtl w:val="0"/>
          </w:rPr>
          <w:t xml:space="preserve">www.todos-math.org/TEEM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thaza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widowControl w:val="0"/>
      <w:spacing w:line="240" w:lineRule="auto"/>
      <w:ind w:left="720" w:firstLine="0"/>
      <w:rPr>
        <w:rFonts w:ascii="Balthazar" w:cs="Balthazar" w:eastAsia="Balthazar" w:hAnsi="Balthazar"/>
        <w:b w:val="1"/>
        <w:sz w:val="40"/>
        <w:szCs w:val="40"/>
      </w:rPr>
    </w:pPr>
    <w:r w:rsidDel="00000000" w:rsidR="00000000" w:rsidRPr="00000000">
      <w:rPr>
        <w:rFonts w:ascii="Times New Roman" w:cs="Times New Roman" w:eastAsia="Times New Roman" w:hAnsi="Times New Roman"/>
        <w:b w:val="1"/>
      </w:rPr>
      <w:drawing>
        <wp:inline distB="0" distT="0" distL="0" distR="0">
          <wp:extent cx="1276350" cy="995363"/>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6350" cy="995363"/>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3719576</wp:posOffset>
              </wp:positionH>
              <wp:positionV relativeFrom="paragraph">
                <wp:posOffset>-39623</wp:posOffset>
              </wp:positionV>
              <wp:extent cx="2381250" cy="1081088"/>
              <wp:effectExtent b="0" l="0" r="0" t="0"/>
              <wp:wrapNone/>
              <wp:docPr id="3" name=""/>
              <a:graphic>
                <a:graphicData uri="http://schemas.microsoft.com/office/word/2010/wordprocessingShape">
                  <wps:wsp>
                    <wps:cNvSpPr/>
                    <wps:cNvPr id="2" name="Shape 2"/>
                    <wps:spPr>
                      <a:xfrm>
                        <a:off x="3786150" y="3060600"/>
                        <a:ext cx="3119700" cy="1438800"/>
                      </a:xfrm>
                      <a:prstGeom prst="rect">
                        <a:avLst/>
                      </a:prstGeom>
                      <a:gradFill>
                        <a:gsLst>
                          <a:gs pos="0">
                            <a:srgbClr val="FFFFE6"/>
                          </a:gs>
                          <a:gs pos="100000">
                            <a:srgbClr val="FFFF00"/>
                          </a:gs>
                        </a:gsLst>
                        <a:lin ang="5400000" scaled="0"/>
                      </a:gradFill>
                      <a:ln>
                        <a:noFill/>
                      </a:ln>
                    </wps:spPr>
                    <wps:txbx>
                      <w:txbxContent>
                        <w:p w:rsidR="00000000" w:rsidDel="00000000" w:rsidP="00000000" w:rsidRDefault="00000000" w:rsidRPr="00000000">
                          <w:pPr>
                            <w:spacing w:after="0" w:before="0" w:line="240"/>
                            <w:ind w:left="0" w:right="0" w:firstLine="63.00000190734863"/>
                            <w:jc w:val="center"/>
                            <w:textDirection w:val="btLr"/>
                          </w:pPr>
                        </w:p>
                        <w:p w:rsidR="00000000" w:rsidDel="00000000" w:rsidP="00000000" w:rsidRDefault="00000000" w:rsidRPr="00000000">
                          <w:pPr>
                            <w:spacing w:after="0" w:before="0" w:line="240"/>
                            <w:ind w:left="0" w:right="0" w:firstLine="63.00000190734863"/>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36"/>
                              <w:vertAlign w:val="baseline"/>
                            </w:rPr>
                            <w:t xml:space="preserve">Teaching for Excellence </w:t>
                          </w:r>
                        </w:p>
                        <w:p w:rsidR="00000000" w:rsidDel="00000000" w:rsidP="00000000" w:rsidRDefault="00000000" w:rsidRPr="00000000">
                          <w:pPr>
                            <w:spacing w:after="0" w:before="0" w:line="240"/>
                            <w:ind w:left="0" w:right="0" w:firstLine="63.00000190734863"/>
                            <w:jc w:val="center"/>
                            <w:textDirection w:val="btLr"/>
                          </w:pPr>
                          <w:r w:rsidDel="00000000" w:rsidR="00000000" w:rsidRPr="00000000">
                            <w:rPr>
                              <w:rFonts w:ascii="Balthazar" w:cs="Balthazar" w:eastAsia="Balthazar" w:hAnsi="Balthazar"/>
                              <w:b w:val="1"/>
                              <w:i w:val="0"/>
                              <w:smallCaps w:val="0"/>
                              <w:strike w:val="0"/>
                              <w:color w:val="000000"/>
                              <w:sz w:val="36"/>
                              <w:vertAlign w:val="baseline"/>
                            </w:rPr>
                          </w:r>
                          <w:r w:rsidDel="00000000" w:rsidR="00000000" w:rsidRPr="00000000">
                            <w:rPr>
                              <w:rFonts w:ascii="Balthazar" w:cs="Balthazar" w:eastAsia="Balthazar" w:hAnsi="Balthazar"/>
                              <w:b w:val="1"/>
                              <w:i w:val="0"/>
                              <w:smallCaps w:val="0"/>
                              <w:strike w:val="0"/>
                              <w:color w:val="000000"/>
                              <w:sz w:val="36"/>
                              <w:vertAlign w:val="baseline"/>
                            </w:rPr>
                            <w:t xml:space="preserve">and Equity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36"/>
                              <w:vertAlign w:val="baseline"/>
                            </w:rPr>
                          </w:r>
                          <w:r w:rsidDel="00000000" w:rsidR="00000000" w:rsidRPr="00000000">
                            <w:rPr>
                              <w:rFonts w:ascii="Balthazar" w:cs="Balthazar" w:eastAsia="Balthazar" w:hAnsi="Balthazar"/>
                              <w:b w:val="1"/>
                              <w:i w:val="0"/>
                              <w:smallCaps w:val="0"/>
                              <w:strike w:val="0"/>
                              <w:color w:val="000000"/>
                              <w:sz w:val="36"/>
                              <w:vertAlign w:val="baseline"/>
                            </w:rPr>
                            <w:t xml:space="preserve">in Mathematics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36"/>
                              <w:vertAlign w:val="baseline"/>
                            </w:rPr>
                          </w:r>
                          <w:r w:rsidDel="00000000" w:rsidR="00000000" w:rsidRPr="00000000">
                            <w:rPr>
                              <w:rFonts w:ascii="Balthazar" w:cs="Balthazar" w:eastAsia="Balthazar" w:hAnsi="Balthazar"/>
                              <w:b w:val="1"/>
                              <w:i w:val="0"/>
                              <w:smallCaps w:val="0"/>
                              <w:strike w:val="0"/>
                              <w:color w:val="000000"/>
                              <w:sz w:val="4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40"/>
                              <w:vertAlign w:val="baseline"/>
                            </w:rPr>
                          </w:r>
                          <w:r w:rsidDel="00000000" w:rsidR="00000000" w:rsidRPr="00000000">
                            <w:rPr>
                              <w:rFonts w:ascii="Balthazar" w:cs="Balthazar" w:eastAsia="Balthazar" w:hAnsi="Balthazar"/>
                              <w:b w:val="1"/>
                              <w:i w:val="0"/>
                              <w:smallCaps w:val="0"/>
                              <w:strike w:val="0"/>
                              <w:color w:val="000000"/>
                              <w:sz w:val="36"/>
                              <w:vertAlign w:val="baseline"/>
                            </w:rPr>
                            <w:t xml:space="preserve"> </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3719576</wp:posOffset>
              </wp:positionH>
              <wp:positionV relativeFrom="paragraph">
                <wp:posOffset>-39623</wp:posOffset>
              </wp:positionV>
              <wp:extent cx="2381250" cy="1081088"/>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381250" cy="1081088"/>
                      </a:xfrm>
                      <a:prstGeom prst="rect"/>
                      <a:ln/>
                    </pic:spPr>
                  </pic:pic>
                </a:graphicData>
              </a:graphic>
            </wp:anchor>
          </w:drawing>
        </mc:Fallback>
      </mc:AlternateContent>
    </w:r>
  </w:p>
  <w:p w:rsidR="00000000" w:rsidDel="00000000" w:rsidP="00000000" w:rsidRDefault="00000000" w:rsidRPr="00000000" w14:paraId="00000014">
    <w:pPr>
      <w:pageBreakBefore w:val="0"/>
      <w:widowControl w:val="0"/>
      <w:spacing w:line="240" w:lineRule="auto"/>
      <w:ind w:left="720" w:firstLine="0"/>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odos-math.org/statements" TargetMode="External"/><Relationship Id="rId10" Type="http://schemas.openxmlformats.org/officeDocument/2006/relationships/hyperlink" Target="mailto:teem@todos-math.org" TargetMode="External"/><Relationship Id="rId13" Type="http://schemas.openxmlformats.org/officeDocument/2006/relationships/hyperlink" Target="mailto:TEEMAntiracismIssue@gmail.com" TargetMode="External"/><Relationship Id="rId12" Type="http://schemas.openxmlformats.org/officeDocument/2006/relationships/hyperlink" Target="https://www.todos-math.org/stat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dos-math.org/assets/The%20Movement%20to%20Prioritize%20Antiracist%20Mathematics%20Ed%20by%20TODOS%20June%202020.edited.pdf" TargetMode="External"/><Relationship Id="rId15" Type="http://schemas.openxmlformats.org/officeDocument/2006/relationships/hyperlink" Target="mailto:TEEMAntiracismIssue@gmail.com" TargetMode="External"/><Relationship Id="rId14" Type="http://schemas.openxmlformats.org/officeDocument/2006/relationships/hyperlink" Target="mailto:TEEMAntiracismIssue@gmail.com" TargetMode="External"/><Relationship Id="rId17" Type="http://schemas.openxmlformats.org/officeDocument/2006/relationships/header" Target="header1.xml"/><Relationship Id="rId16" Type="http://schemas.openxmlformats.org/officeDocument/2006/relationships/hyperlink" Target="http://www.todos-math.org/TEE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dos-math.org/newteemwb" TargetMode="External"/><Relationship Id="rId8" Type="http://schemas.openxmlformats.org/officeDocument/2006/relationships/hyperlink" Target="https://www.todos-math.org/newteemw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TGP6VWfmvUarmMOi6QUx+Hn1w==">AMUW2mUkpNU+Z/p1kxWyiPa3FQFpUdAepmCSxfy1wbXgyIJCxWxtGY3UGIKp9qqfAIgPv/Zl70DG+Jhu376/oYJHhkEIrzxIdcrBlTo6l2UHMSS2I6A2hXXfzCsTnwfM3CIfYw2q+F5d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2021-05-10T13:57:00Z</dcterms:created>
  <dc:creator>Ksenija Simic-Muller</dc:creator>
</cp:coreProperties>
</file>